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</w:pPr>
      <w:bookmarkStart w:id="0" w:name="_GoBack"/>
      <w:bookmarkEnd w:id="0"/>
      <w:r w:rsidRPr="002649FE"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  <w:t xml:space="preserve"> Standard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</w:p>
    <w:p w:rsidR="00A75AE8" w:rsidRPr="002649FE" w:rsidRDefault="0012421B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Devon, Cornwall and Isles of Scilly</w:t>
      </w:r>
      <w:r w:rsidR="00A75AE8" w:rsidRPr="002649FE">
        <w:rPr>
          <w:rFonts w:ascii="Arial" w:hAnsi="Arial" w:cs="Arial"/>
          <w:sz w:val="24"/>
          <w:szCs w:val="24"/>
        </w:rPr>
        <w:t xml:space="preserve"> Area Team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4721EC">
        <w:rPr>
          <w:rFonts w:ascii="Arial" w:hAnsi="Arial" w:cs="Arial"/>
          <w:sz w:val="24"/>
          <w:szCs w:val="24"/>
        </w:rPr>
        <w:t xml:space="preserve"> HOLSWORTHY DOCTORS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4721EC">
        <w:rPr>
          <w:rFonts w:ascii="Arial" w:hAnsi="Arial" w:cs="Arial"/>
          <w:sz w:val="24"/>
          <w:szCs w:val="24"/>
        </w:rPr>
        <w:t xml:space="preserve"> L83069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         </w:t>
      </w:r>
      <w:r w:rsidR="004721EC">
        <w:rPr>
          <w:rFonts w:ascii="Arial" w:hAnsi="Arial" w:cs="Arial"/>
          <w:sz w:val="24"/>
          <w:szCs w:val="24"/>
        </w:rPr>
        <w:t xml:space="preserve">  </w:t>
      </w:r>
      <w:r w:rsidRPr="002649FE">
        <w:rPr>
          <w:rFonts w:ascii="Arial" w:hAnsi="Arial" w:cs="Arial"/>
          <w:sz w:val="24"/>
          <w:szCs w:val="24"/>
        </w:rPr>
        <w:tab/>
      </w:r>
      <w:r w:rsidR="004721EC">
        <w:rPr>
          <w:rFonts w:ascii="Arial" w:hAnsi="Arial" w:cs="Arial"/>
          <w:sz w:val="24"/>
          <w:szCs w:val="24"/>
        </w:rPr>
        <w:t xml:space="preserve">                                    </w:t>
      </w:r>
      <w:r w:rsidR="00DB23BC">
        <w:rPr>
          <w:rFonts w:ascii="Arial" w:hAnsi="Arial" w:cs="Arial"/>
          <w:sz w:val="24"/>
          <w:szCs w:val="24"/>
        </w:rPr>
        <w:t>Jane Wells</w:t>
      </w:r>
      <w:r w:rsidR="004721EC">
        <w:rPr>
          <w:rFonts w:ascii="Arial" w:hAnsi="Arial" w:cs="Arial"/>
          <w:sz w:val="24"/>
          <w:szCs w:val="24"/>
        </w:rPr>
        <w:t xml:space="preserve">           </w:t>
      </w:r>
      <w:r w:rsidR="008611CF">
        <w:rPr>
          <w:rFonts w:ascii="Arial" w:hAnsi="Arial" w:cs="Arial"/>
          <w:sz w:val="24"/>
          <w:szCs w:val="24"/>
        </w:rPr>
        <w:tab/>
      </w:r>
      <w:r w:rsidR="004721EC">
        <w:rPr>
          <w:rFonts w:ascii="Arial" w:hAnsi="Arial" w:cs="Arial"/>
          <w:sz w:val="24"/>
          <w:szCs w:val="24"/>
        </w:rPr>
        <w:t xml:space="preserve">                     </w:t>
      </w:r>
      <w:r w:rsidRPr="002649FE">
        <w:rPr>
          <w:rFonts w:ascii="Arial" w:hAnsi="Arial" w:cs="Arial"/>
          <w:sz w:val="24"/>
          <w:szCs w:val="24"/>
        </w:rPr>
        <w:t>Date:</w:t>
      </w:r>
      <w:r w:rsidR="0028398C">
        <w:rPr>
          <w:rFonts w:ascii="Arial" w:hAnsi="Arial" w:cs="Arial"/>
          <w:sz w:val="24"/>
          <w:szCs w:val="24"/>
        </w:rPr>
        <w:t xml:space="preserve"> 18</w:t>
      </w:r>
      <w:r w:rsidR="0028398C" w:rsidRPr="0028398C">
        <w:rPr>
          <w:rFonts w:ascii="Arial" w:hAnsi="Arial" w:cs="Arial"/>
          <w:sz w:val="24"/>
          <w:szCs w:val="24"/>
          <w:vertAlign w:val="superscript"/>
        </w:rPr>
        <w:t>th</w:t>
      </w:r>
      <w:r w:rsidR="0028398C">
        <w:rPr>
          <w:rFonts w:ascii="Arial" w:hAnsi="Arial" w:cs="Arial"/>
          <w:sz w:val="24"/>
          <w:szCs w:val="24"/>
        </w:rPr>
        <w:t xml:space="preserve"> March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="008611CF">
        <w:rPr>
          <w:rFonts w:ascii="Arial" w:hAnsi="Arial" w:cs="Arial"/>
          <w:sz w:val="24"/>
          <w:szCs w:val="24"/>
        </w:rPr>
        <w:t xml:space="preserve">    David Thomas</w:t>
      </w:r>
      <w:r w:rsidR="008611CF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28398C">
        <w:rPr>
          <w:rFonts w:ascii="Arial" w:hAnsi="Arial" w:cs="Arial"/>
          <w:sz w:val="24"/>
          <w:szCs w:val="24"/>
        </w:rPr>
        <w:t xml:space="preserve"> 18</w:t>
      </w:r>
      <w:r w:rsidR="0028398C" w:rsidRPr="0028398C">
        <w:rPr>
          <w:rFonts w:ascii="Arial" w:hAnsi="Arial" w:cs="Arial"/>
          <w:sz w:val="24"/>
          <w:szCs w:val="24"/>
          <w:vertAlign w:val="superscript"/>
        </w:rPr>
        <w:t>th</w:t>
      </w:r>
      <w:r w:rsidR="0028398C">
        <w:rPr>
          <w:rFonts w:ascii="Arial" w:hAnsi="Arial" w:cs="Arial"/>
          <w:sz w:val="24"/>
          <w:szCs w:val="24"/>
        </w:rPr>
        <w:t xml:space="preserve"> March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Does the Practice have a PPG? YES </w:t>
            </w:r>
            <w:r w:rsidRPr="004721EC">
              <w:rPr>
                <w:rFonts w:ascii="Arial" w:hAnsi="Arial" w:cs="Arial"/>
                <w:strike/>
                <w:color w:val="auto"/>
              </w:rPr>
              <w:t>/ 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  <w:r w:rsidR="004721EC">
              <w:rPr>
                <w:rFonts w:ascii="Arial" w:hAnsi="Arial" w:cs="Arial"/>
                <w:color w:val="auto"/>
              </w:rPr>
              <w:t>. Face  to face, email</w:t>
            </w:r>
            <w:r w:rsidR="00DB23BC">
              <w:rPr>
                <w:rFonts w:ascii="Arial" w:hAnsi="Arial" w:cs="Arial"/>
                <w:color w:val="auto"/>
              </w:rPr>
              <w:t xml:space="preserve"> </w:t>
            </w:r>
            <w:r w:rsidR="004721EC">
              <w:rPr>
                <w:rFonts w:ascii="Arial" w:hAnsi="Arial" w:cs="Arial"/>
                <w:color w:val="auto"/>
              </w:rPr>
              <w:t>and letters (where requested)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4721EC">
              <w:rPr>
                <w:rFonts w:ascii="Arial" w:hAnsi="Arial" w:cs="Arial"/>
              </w:rPr>
              <w:t xml:space="preserve"> 17 in core PPG , </w:t>
            </w:r>
            <w:r w:rsidR="00DB23BC">
              <w:rPr>
                <w:rFonts w:ascii="Arial" w:hAnsi="Arial" w:cs="Arial"/>
              </w:rPr>
              <w:t>40</w:t>
            </w:r>
            <w:r w:rsidR="004721EC">
              <w:rPr>
                <w:rFonts w:ascii="Arial" w:hAnsi="Arial" w:cs="Arial"/>
              </w:rPr>
              <w:t xml:space="preserve"> in virtual PPG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49%</w:t>
                  </w:r>
                </w:p>
              </w:tc>
              <w:tc>
                <w:tcPr>
                  <w:tcW w:w="1985" w:type="dxa"/>
                </w:tcPr>
                <w:p w:rsidR="00A75AE8" w:rsidRPr="002649FE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51%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8611C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44%</w:t>
                  </w:r>
                </w:p>
              </w:tc>
              <w:tc>
                <w:tcPr>
                  <w:tcW w:w="1985" w:type="dxa"/>
                </w:tcPr>
                <w:p w:rsidR="00A75AE8" w:rsidRPr="002649FE" w:rsidRDefault="008611C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56%</w:t>
                  </w:r>
                </w:p>
              </w:tc>
            </w:tr>
          </w:tbl>
          <w:p w:rsidR="00A75AE8" w:rsidRPr="002649FE" w:rsidRDefault="00A75AE8" w:rsidP="007F7B99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6C6555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17.25%</w:t>
                  </w:r>
                </w:p>
              </w:tc>
              <w:tc>
                <w:tcPr>
                  <w:tcW w:w="850" w:type="dxa"/>
                </w:tcPr>
                <w:p w:rsidR="00A75AE8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8.08%</w:t>
                  </w:r>
                </w:p>
              </w:tc>
              <w:tc>
                <w:tcPr>
                  <w:tcW w:w="851" w:type="dxa"/>
                </w:tcPr>
                <w:p w:rsidR="00A75AE8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8.98%</w:t>
                  </w:r>
                </w:p>
              </w:tc>
              <w:tc>
                <w:tcPr>
                  <w:tcW w:w="850" w:type="dxa"/>
                </w:tcPr>
                <w:p w:rsidR="00A75AE8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9.63%</w:t>
                  </w:r>
                </w:p>
              </w:tc>
              <w:tc>
                <w:tcPr>
                  <w:tcW w:w="851" w:type="dxa"/>
                </w:tcPr>
                <w:p w:rsidR="00A75AE8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14.99%</w:t>
                  </w:r>
                </w:p>
              </w:tc>
              <w:tc>
                <w:tcPr>
                  <w:tcW w:w="850" w:type="dxa"/>
                </w:tcPr>
                <w:p w:rsidR="00A75AE8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15.2%</w:t>
                  </w:r>
                </w:p>
              </w:tc>
              <w:tc>
                <w:tcPr>
                  <w:tcW w:w="851" w:type="dxa"/>
                </w:tcPr>
                <w:p w:rsidR="00A75AE8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14.9%</w:t>
                  </w:r>
                </w:p>
              </w:tc>
              <w:tc>
                <w:tcPr>
                  <w:tcW w:w="708" w:type="dxa"/>
                </w:tcPr>
                <w:p w:rsidR="00A75AE8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555">
                    <w:rPr>
                      <w:rFonts w:ascii="Arial" w:hAnsi="Arial" w:cs="Arial"/>
                      <w:sz w:val="16"/>
                      <w:szCs w:val="16"/>
                    </w:rPr>
                    <w:t>10.97%</w:t>
                  </w:r>
                </w:p>
                <w:p w:rsidR="004721EC" w:rsidRPr="006C6555" w:rsidRDefault="004721E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BD5912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BD5912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BD5912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2%</w:t>
                  </w:r>
                </w:p>
              </w:tc>
              <w:tc>
                <w:tcPr>
                  <w:tcW w:w="850" w:type="dxa"/>
                </w:tcPr>
                <w:p w:rsidR="00A75AE8" w:rsidRPr="002649FE" w:rsidRDefault="009045D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BD5912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A75AE8" w:rsidRPr="002649FE" w:rsidRDefault="00BD5912" w:rsidP="009045D9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9045D9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A75AE8" w:rsidRPr="002649FE" w:rsidRDefault="00BD5912" w:rsidP="009045D9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9045D9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A75AE8" w:rsidRPr="002649FE" w:rsidRDefault="00BD5912" w:rsidP="009045D9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9045D9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A75AE8" w:rsidRPr="002649FE" w:rsidRDefault="00BD5912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29%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Default="00AC210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98</w:t>
                  </w:r>
                  <w:r w:rsidR="00BB0F03">
                    <w:rPr>
                      <w:rFonts w:ascii="Arial" w:hAnsi="Arial" w:cs="Arial"/>
                      <w:color w:val="auto"/>
                    </w:rPr>
                    <w:t>%</w:t>
                  </w:r>
                </w:p>
                <w:p w:rsidR="00BB0F03" w:rsidRPr="002649FE" w:rsidRDefault="00BB0F0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C5294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0%</w:t>
                  </w:r>
                </w:p>
              </w:tc>
              <w:tc>
                <w:tcPr>
                  <w:tcW w:w="1452" w:type="dxa"/>
                </w:tcPr>
                <w:p w:rsidR="00A75AE8" w:rsidRPr="002649FE" w:rsidRDefault="006C655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  <w:r w:rsidR="00C52947">
                    <w:rPr>
                      <w:rFonts w:ascii="Arial" w:hAnsi="Arial" w:cs="Arial"/>
                      <w:color w:val="auto"/>
                    </w:rPr>
                    <w:t>%</w:t>
                  </w:r>
                </w:p>
              </w:tc>
              <w:tc>
                <w:tcPr>
                  <w:tcW w:w="1204" w:type="dxa"/>
                </w:tcPr>
                <w:p w:rsidR="00A75AE8" w:rsidRPr="002649FE" w:rsidRDefault="00C5294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1%</w:t>
                  </w:r>
                </w:p>
              </w:tc>
              <w:tc>
                <w:tcPr>
                  <w:tcW w:w="1418" w:type="dxa"/>
                </w:tcPr>
                <w:p w:rsidR="00A75AE8" w:rsidRPr="002649FE" w:rsidRDefault="00C5294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0%</w:t>
                  </w:r>
                </w:p>
              </w:tc>
              <w:tc>
                <w:tcPr>
                  <w:tcW w:w="1843" w:type="dxa"/>
                </w:tcPr>
                <w:p w:rsidR="00A75AE8" w:rsidRPr="002649FE" w:rsidRDefault="006C6555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  <w:r w:rsidR="00C52947">
                    <w:rPr>
                      <w:rFonts w:ascii="Arial" w:hAnsi="Arial" w:cs="Arial"/>
                      <w:color w:val="auto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A75AE8" w:rsidRPr="002649FE" w:rsidRDefault="00C5294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0%</w:t>
                  </w:r>
                </w:p>
              </w:tc>
              <w:tc>
                <w:tcPr>
                  <w:tcW w:w="992" w:type="dxa"/>
                </w:tcPr>
                <w:p w:rsidR="00A75AE8" w:rsidRPr="002649FE" w:rsidRDefault="00C5294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0%</w:t>
                  </w:r>
                </w:p>
              </w:tc>
            </w:tr>
            <w:tr w:rsidR="009045D9" w:rsidRPr="002649FE" w:rsidTr="00A243E1">
              <w:tc>
                <w:tcPr>
                  <w:tcW w:w="1163" w:type="dxa"/>
                </w:tcPr>
                <w:p w:rsidR="009045D9" w:rsidRPr="002649FE" w:rsidRDefault="009045D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9045D9" w:rsidRPr="002649FE" w:rsidRDefault="009045D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100%</w:t>
                  </w:r>
                </w:p>
              </w:tc>
              <w:tc>
                <w:tcPr>
                  <w:tcW w:w="851" w:type="dxa"/>
                </w:tcPr>
                <w:p w:rsidR="009045D9" w:rsidRDefault="009045D9">
                  <w:r w:rsidRPr="00803F2A">
                    <w:t>0%</w:t>
                  </w:r>
                </w:p>
              </w:tc>
              <w:tc>
                <w:tcPr>
                  <w:tcW w:w="1452" w:type="dxa"/>
                </w:tcPr>
                <w:p w:rsidR="009045D9" w:rsidRDefault="009045D9">
                  <w:r w:rsidRPr="00803F2A">
                    <w:t>0%</w:t>
                  </w:r>
                </w:p>
              </w:tc>
              <w:tc>
                <w:tcPr>
                  <w:tcW w:w="1204" w:type="dxa"/>
                </w:tcPr>
                <w:p w:rsidR="009045D9" w:rsidRDefault="009045D9">
                  <w:r w:rsidRPr="00803F2A">
                    <w:t>0%</w:t>
                  </w:r>
                </w:p>
              </w:tc>
              <w:tc>
                <w:tcPr>
                  <w:tcW w:w="1418" w:type="dxa"/>
                </w:tcPr>
                <w:p w:rsidR="009045D9" w:rsidRDefault="009045D9">
                  <w:r w:rsidRPr="00803F2A">
                    <w:t>0%</w:t>
                  </w:r>
                </w:p>
              </w:tc>
              <w:tc>
                <w:tcPr>
                  <w:tcW w:w="1843" w:type="dxa"/>
                </w:tcPr>
                <w:p w:rsidR="009045D9" w:rsidRDefault="009045D9">
                  <w:r w:rsidRPr="00803F2A">
                    <w:t>0%</w:t>
                  </w:r>
                </w:p>
              </w:tc>
              <w:tc>
                <w:tcPr>
                  <w:tcW w:w="992" w:type="dxa"/>
                </w:tcPr>
                <w:p w:rsidR="009045D9" w:rsidRDefault="009045D9">
                  <w:r w:rsidRPr="00803F2A">
                    <w:t>0%</w:t>
                  </w:r>
                </w:p>
              </w:tc>
              <w:tc>
                <w:tcPr>
                  <w:tcW w:w="992" w:type="dxa"/>
                </w:tcPr>
                <w:p w:rsidR="009045D9" w:rsidRDefault="009045D9">
                  <w:r w:rsidRPr="00803F2A">
                    <w:t>0%</w:t>
                  </w: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C52947" w:rsidRPr="002649FE" w:rsidTr="00A243E1">
              <w:tc>
                <w:tcPr>
                  <w:tcW w:w="1305" w:type="dxa"/>
                </w:tcPr>
                <w:p w:rsidR="00C52947" w:rsidRPr="002649FE" w:rsidRDefault="00C5294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1417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1559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1134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993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1134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1417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992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851" w:type="dxa"/>
                </w:tcPr>
                <w:p w:rsidR="00C52947" w:rsidRDefault="00C52947">
                  <w:r w:rsidRPr="00A04665">
                    <w:t>0%</w:t>
                  </w:r>
                </w:p>
              </w:tc>
              <w:tc>
                <w:tcPr>
                  <w:tcW w:w="850" w:type="dxa"/>
                </w:tcPr>
                <w:p w:rsidR="00C52947" w:rsidRDefault="00C52947">
                  <w:r w:rsidRPr="00A04665">
                    <w:t>0%</w:t>
                  </w:r>
                </w:p>
              </w:tc>
            </w:tr>
            <w:tr w:rsidR="009045D9" w:rsidRPr="002649FE" w:rsidTr="00A243E1">
              <w:tc>
                <w:tcPr>
                  <w:tcW w:w="1305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1276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1417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1559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1134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993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1134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1417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992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851" w:type="dxa"/>
                </w:tcPr>
                <w:p w:rsidR="009045D9" w:rsidRDefault="009045D9">
                  <w:r w:rsidRPr="002172C6">
                    <w:t>0%</w:t>
                  </w:r>
                </w:p>
              </w:tc>
              <w:tc>
                <w:tcPr>
                  <w:tcW w:w="850" w:type="dxa"/>
                </w:tcPr>
                <w:p w:rsidR="009045D9" w:rsidRDefault="009045D9">
                  <w:r w:rsidRPr="002172C6">
                    <w:t>0%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2109" w:rsidRDefault="00AC2109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monitor our PPG make-up to ensure it continues to reflect our patient population demographics.</w:t>
            </w:r>
          </w:p>
          <w:p w:rsidR="00AC2109" w:rsidRDefault="00AC2109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5707" w:rsidRPr="00F35707" w:rsidRDefault="00F35707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F35707">
              <w:rPr>
                <w:rFonts w:ascii="Arial" w:hAnsi="Arial" w:cs="Arial"/>
                <w:sz w:val="24"/>
                <w:szCs w:val="24"/>
              </w:rPr>
              <w:t>We advertise our PPG as widely as possible locally with some targeted adverti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F35707">
              <w:rPr>
                <w:rFonts w:ascii="Arial" w:hAnsi="Arial" w:cs="Arial"/>
                <w:sz w:val="24"/>
                <w:szCs w:val="24"/>
              </w:rPr>
              <w:t xml:space="preserve">ng in schools or children’s centres </w:t>
            </w:r>
            <w:r w:rsidR="00AC2109">
              <w:rPr>
                <w:rFonts w:ascii="Arial" w:hAnsi="Arial" w:cs="Arial"/>
                <w:sz w:val="24"/>
                <w:szCs w:val="24"/>
              </w:rPr>
              <w:t xml:space="preserve">and residential homes </w:t>
            </w:r>
            <w:r w:rsidRPr="00F35707">
              <w:rPr>
                <w:rFonts w:ascii="Arial" w:hAnsi="Arial" w:cs="Arial"/>
                <w:sz w:val="24"/>
                <w:szCs w:val="24"/>
              </w:rPr>
              <w:t>to ensure a mix of ages. The Doctors at the 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also identify </w:t>
            </w:r>
            <w:r w:rsidRPr="00F35707">
              <w:rPr>
                <w:rFonts w:ascii="Arial" w:hAnsi="Arial" w:cs="Arial"/>
                <w:sz w:val="24"/>
                <w:szCs w:val="24"/>
              </w:rPr>
              <w:t>patients who may be interest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F35707">
              <w:rPr>
                <w:rFonts w:ascii="Arial" w:hAnsi="Arial" w:cs="Arial"/>
                <w:sz w:val="24"/>
                <w:szCs w:val="24"/>
              </w:rPr>
              <w:t xml:space="preserve"> in joining the PP</w:t>
            </w:r>
            <w:r w:rsidR="00AC2109">
              <w:rPr>
                <w:rFonts w:ascii="Arial" w:hAnsi="Arial" w:cs="Arial"/>
                <w:sz w:val="24"/>
                <w:szCs w:val="24"/>
              </w:rPr>
              <w:t>G</w:t>
            </w:r>
            <w:r w:rsidRPr="00F35707">
              <w:rPr>
                <w:rFonts w:ascii="Arial" w:hAnsi="Arial" w:cs="Arial"/>
                <w:sz w:val="24"/>
                <w:szCs w:val="24"/>
              </w:rPr>
              <w:t xml:space="preserve"> and a formal invitation is made.  </w:t>
            </w:r>
          </w:p>
          <w:p w:rsidR="00AC2109" w:rsidRDefault="00AC2109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>. a large student population, significant number of jobseekers, large numbers of nursing homes, or a LGBT community? YES/</w:t>
            </w:r>
            <w:r w:rsidRPr="00510FC2">
              <w:rPr>
                <w:rFonts w:ascii="Arial" w:hAnsi="Arial" w:cs="Arial"/>
                <w:strike/>
                <w:sz w:val="24"/>
                <w:szCs w:val="24"/>
              </w:rPr>
              <w:t>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C2109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a large </w:t>
            </w:r>
            <w:r w:rsidR="00510FC2">
              <w:rPr>
                <w:rFonts w:ascii="Arial" w:hAnsi="Arial" w:cs="Arial"/>
                <w:sz w:val="24"/>
                <w:szCs w:val="24"/>
              </w:rPr>
              <w:t xml:space="preserve">Elderly population. We do have a range of ages represented on our PPG, with </w:t>
            </w:r>
            <w:r w:rsidR="009045D9">
              <w:rPr>
                <w:rFonts w:ascii="Arial" w:hAnsi="Arial" w:cs="Arial"/>
                <w:sz w:val="24"/>
                <w:szCs w:val="24"/>
              </w:rPr>
              <w:t>66</w:t>
            </w:r>
            <w:r w:rsidR="00510FC2">
              <w:rPr>
                <w:rFonts w:ascii="Arial" w:hAnsi="Arial" w:cs="Arial"/>
                <w:sz w:val="24"/>
                <w:szCs w:val="24"/>
              </w:rPr>
              <w:t>% being over 65y, including representation from the local Day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04C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9F04C8">
              <w:rPr>
                <w:rFonts w:ascii="Arial" w:hAnsi="Arial" w:cs="Arial"/>
                <w:sz w:val="24"/>
                <w:szCs w:val="24"/>
              </w:rPr>
              <w:t>ospice</w:t>
            </w:r>
            <w:r w:rsidR="00510FC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  <w:r w:rsidRPr="00F35707">
              <w:rPr>
                <w:rFonts w:ascii="Arial" w:hAnsi="Arial" w:cs="Arial"/>
                <w:sz w:val="28"/>
                <w:szCs w:val="28"/>
              </w:rPr>
              <w:t>Outline the sources of feedback that were reviewed during the year:</w:t>
            </w: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75AE8" w:rsidRPr="00F35707" w:rsidRDefault="004721E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  <w:r w:rsidRPr="00F35707">
              <w:rPr>
                <w:rFonts w:ascii="Arial" w:hAnsi="Arial" w:cs="Arial"/>
                <w:sz w:val="28"/>
                <w:szCs w:val="28"/>
              </w:rPr>
              <w:t xml:space="preserve">Survey, Friends &amp; Family Test, Patient complaints &amp; compliments and Patient Comments from feedback box in reception. </w:t>
            </w: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  <w:r w:rsidRPr="00F35707">
              <w:rPr>
                <w:rFonts w:ascii="Arial" w:hAnsi="Arial" w:cs="Arial"/>
                <w:sz w:val="28"/>
                <w:szCs w:val="28"/>
              </w:rPr>
              <w:t>How frequently</w:t>
            </w:r>
            <w:r w:rsidR="00F35707">
              <w:rPr>
                <w:rFonts w:ascii="Arial" w:hAnsi="Arial" w:cs="Arial"/>
                <w:sz w:val="28"/>
                <w:szCs w:val="28"/>
              </w:rPr>
              <w:t xml:space="preserve"> were these reviewed with the PP</w:t>
            </w:r>
            <w:r w:rsidRPr="00F35707">
              <w:rPr>
                <w:rFonts w:ascii="Arial" w:hAnsi="Arial" w:cs="Arial"/>
                <w:sz w:val="28"/>
                <w:szCs w:val="28"/>
              </w:rPr>
              <w:t>G?</w:t>
            </w:r>
          </w:p>
          <w:p w:rsidR="0012421B" w:rsidRPr="00F35707" w:rsidRDefault="0012421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75AE8" w:rsidRPr="00F35707" w:rsidRDefault="004721EC" w:rsidP="004721EC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  <w:r w:rsidRPr="00F35707">
              <w:rPr>
                <w:rFonts w:ascii="Arial" w:hAnsi="Arial" w:cs="Arial"/>
                <w:sz w:val="28"/>
                <w:szCs w:val="28"/>
              </w:rPr>
              <w:t xml:space="preserve">Quarterly </w:t>
            </w: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510FC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Access to on-the day appointments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6646D7" w:rsidP="00485DE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Redesigned nursing appointments to maximise the availability of our nursing team for on the day appointments.</w:t>
            </w:r>
          </w:p>
          <w:p w:rsidR="006646D7" w:rsidRDefault="006646D7" w:rsidP="00485DE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Incorporated GP appointments into the Minor Illness Clinic increasing the number of Minor Illness on-the-day appointments</w:t>
            </w:r>
          </w:p>
          <w:p w:rsidR="006646D7" w:rsidRPr="002649FE" w:rsidRDefault="006646D7" w:rsidP="00485DE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Reviewed and amended the mix of appointments (on-the-day and book in advance) offered by GPs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E6D6A" w:rsidRDefault="00AE6D6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Patients find it easier to book on the day appointments (evidenced by the practice having empty appointments at the end of the day).</w:t>
            </w:r>
          </w:p>
          <w:p w:rsidR="00AE6D6A" w:rsidRDefault="00AE6D6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6646D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Publicity includes our monthly newsletter, our patient feedback noticeboard in practice, website, local press and </w:t>
            </w:r>
            <w:r w:rsidR="00AE6D6A">
              <w:rPr>
                <w:rFonts w:ascii="Arial" w:hAnsi="Arial" w:cs="Arial"/>
                <w:sz w:val="24"/>
              </w:rPr>
              <w:t>media-</w:t>
            </w:r>
            <w:r>
              <w:rPr>
                <w:rFonts w:ascii="Arial" w:hAnsi="Arial" w:cs="Arial"/>
                <w:sz w:val="24"/>
              </w:rPr>
              <w:t xml:space="preserve">screen in practice.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485D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 to the Practice. A number of transport options to the practice have been ceased resulting in problems for some patients to travel to the practice.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485DE4" w:rsidRDefault="00485DE4" w:rsidP="00485DE4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 the number of telephone appointments for GPs and introduce telephone appointments for Nurses and Nurse Practitioners.</w:t>
            </w:r>
          </w:p>
          <w:p w:rsidR="00485DE4" w:rsidRDefault="00485DE4" w:rsidP="00485DE4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Advertise the transport options available.</w:t>
            </w:r>
          </w:p>
          <w:p w:rsidR="00485DE4" w:rsidRDefault="00485DE4" w:rsidP="00485DE4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Advertise that prescriptions can be requested by post, fax or email or online and patients do not need to physically come to reception to hand the request in.</w:t>
            </w:r>
          </w:p>
          <w:p w:rsidR="00485DE4" w:rsidRDefault="00485DE4" w:rsidP="00485DE4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Continue to advertise our online services (appointment booking and repeat prescription requests) </w:t>
            </w:r>
          </w:p>
          <w:p w:rsidR="00485DE4" w:rsidRDefault="00485DE4" w:rsidP="00485DE4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Advertise the pharmacy delivery service.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485D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Increased use of telephone appointments and online services (thereby decreasing </w:t>
            </w:r>
            <w:r w:rsidR="008611CF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 xml:space="preserve">he need to travel to the practice for patients and their carers), increased awareness of transport options should patients need to attend the practice. 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485D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485DE4">
              <w:rPr>
                <w:rFonts w:ascii="Arial" w:hAnsi="Arial" w:cs="Arial"/>
                <w:sz w:val="24"/>
              </w:rPr>
              <w:t>Publicity includes our monthly newsletter, our patient feedback noticeboard in practice, website, local press and media-screen in practice.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E5762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Problems with Access to O</w:t>
            </w:r>
            <w:r w:rsidR="006646D7">
              <w:rPr>
                <w:rFonts w:ascii="Arial" w:hAnsi="Arial" w:cs="Arial"/>
                <w:sz w:val="24"/>
              </w:rPr>
              <w:t xml:space="preserve">ut of Hours (OOH) </w:t>
            </w:r>
            <w:r>
              <w:rPr>
                <w:rFonts w:ascii="Arial" w:hAnsi="Arial" w:cs="Arial"/>
                <w:sz w:val="24"/>
              </w:rPr>
              <w:t>doctors.</w:t>
            </w:r>
            <w:r w:rsidR="006646D7">
              <w:rPr>
                <w:rFonts w:ascii="Arial" w:hAnsi="Arial" w:cs="Arial"/>
                <w:sz w:val="24"/>
              </w:rPr>
              <w:t xml:space="preserve"> There is a local Treatment Centre in </w:t>
            </w:r>
            <w:proofErr w:type="gramStart"/>
            <w:r w:rsidR="006646D7">
              <w:rPr>
                <w:rFonts w:ascii="Arial" w:hAnsi="Arial" w:cs="Arial"/>
                <w:sz w:val="24"/>
              </w:rPr>
              <w:t>Stratton,</w:t>
            </w:r>
            <w:proofErr w:type="gramEnd"/>
            <w:r w:rsidR="006646D7">
              <w:rPr>
                <w:rFonts w:ascii="Arial" w:hAnsi="Arial" w:cs="Arial"/>
                <w:sz w:val="24"/>
              </w:rPr>
              <w:t xml:space="preserve"> however cover is provided Serco not Devon Doctors and therefore patients are routinely sent to Devon Doctor centres further away.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E57628" w:rsidRDefault="00E5762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Invited Devon Doctors (OOH provider) to PPG meeting to discuss problems with group.</w:t>
            </w:r>
          </w:p>
          <w:p w:rsidR="00E57628" w:rsidRPr="002649FE" w:rsidRDefault="00E5762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6646D7" w:rsidRDefault="006646D7" w:rsidP="006646D7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646D7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 xml:space="preserve">evon </w:t>
            </w:r>
            <w:r w:rsidRPr="006646D7">
              <w:rPr>
                <w:rFonts w:ascii="Arial" w:hAnsi="Arial" w:cs="Arial"/>
                <w:sz w:val="24"/>
              </w:rPr>
              <w:t>Doc</w:t>
            </w:r>
            <w:r>
              <w:rPr>
                <w:rFonts w:ascii="Arial" w:hAnsi="Arial" w:cs="Arial"/>
                <w:sz w:val="24"/>
              </w:rPr>
              <w:t>tors</w:t>
            </w:r>
            <w:r w:rsidRPr="006646D7">
              <w:rPr>
                <w:rFonts w:ascii="Arial" w:hAnsi="Arial" w:cs="Arial"/>
                <w:sz w:val="24"/>
              </w:rPr>
              <w:t xml:space="preserve"> approach</w:t>
            </w:r>
            <w:r>
              <w:rPr>
                <w:rFonts w:ascii="Arial" w:hAnsi="Arial" w:cs="Arial"/>
                <w:sz w:val="24"/>
              </w:rPr>
              <w:t>ed</w:t>
            </w:r>
            <w:r w:rsidRPr="006646D7">
              <w:rPr>
                <w:rFonts w:ascii="Arial" w:hAnsi="Arial" w:cs="Arial"/>
                <w:sz w:val="24"/>
              </w:rPr>
              <w:t xml:space="preserve"> Serco </w:t>
            </w:r>
            <w:r>
              <w:rPr>
                <w:rFonts w:ascii="Arial" w:hAnsi="Arial" w:cs="Arial"/>
                <w:sz w:val="24"/>
              </w:rPr>
              <w:t>to develop a</w:t>
            </w:r>
            <w:r w:rsidRPr="006646D7">
              <w:rPr>
                <w:rFonts w:ascii="Arial" w:hAnsi="Arial" w:cs="Arial"/>
                <w:sz w:val="24"/>
              </w:rPr>
              <w:t xml:space="preserve"> more formal arrangement so that patients are offered the closest treatment centre be it in Devon or Cornwall.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6646D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Patients and their carers now have to option to attend Stratton Treatment Centre resulting in a much shorter journey to access GP appointments OOH.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6646D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646D7">
              <w:rPr>
                <w:rFonts w:ascii="Arial" w:hAnsi="Arial" w:cs="Arial"/>
                <w:sz w:val="24"/>
              </w:rPr>
              <w:t>Publicity includes our monthly newsletter, our patient feedback noticeboard in practice, website, local press and media</w:t>
            </w:r>
            <w:r>
              <w:rPr>
                <w:rFonts w:ascii="Arial" w:hAnsi="Arial" w:cs="Arial"/>
                <w:sz w:val="24"/>
              </w:rPr>
              <w:t>-</w:t>
            </w:r>
            <w:r w:rsidRPr="006646D7">
              <w:rPr>
                <w:rFonts w:ascii="Arial" w:hAnsi="Arial" w:cs="Arial"/>
                <w:sz w:val="24"/>
              </w:rPr>
              <w:t>screen in practice.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Pr="00CB6C52" w:rsidRDefault="009F04C8" w:rsidP="00A75AE8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CB6C52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Access to on the day appointments</w:t>
                            </w:r>
                            <w:r w:rsidR="006646D7" w:rsidRPr="00CB6C52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6646D7" w:rsidRPr="00CB6C52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6646D7" w:rsidRPr="00CB6C52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continue to work on access to on the day </w:t>
                            </w:r>
                            <w:r w:rsidR="00485DE4" w:rsidRPr="00CB6C52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appointments;</w:t>
                            </w:r>
                            <w:r w:rsidR="006646D7" w:rsidRPr="00CB6C52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we introduced Nurse Practitioners in 2013-14 and have increased the number of Minor Illness appointments offered in practice this year.</w:t>
                            </w:r>
                          </w:p>
                          <w:p w:rsidR="006646D7" w:rsidRPr="00CB6C52" w:rsidRDefault="006646D7" w:rsidP="00A75AE8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04C8" w:rsidRPr="00CB6C52" w:rsidRDefault="009F04C8" w:rsidP="00A75AE8">
                            <w:pPr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B6C52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Patient Communications</w:t>
                            </w:r>
                          </w:p>
                          <w:p w:rsidR="009F04C8" w:rsidRPr="00CB6C52" w:rsidRDefault="009F04C8" w:rsidP="00A75AE8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CB6C52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We have appointed a Patient Communications Administrator who is responsible for our newsletter, media screen, web site and patient handbook ensuring that patients are provided with information about the services in a consistent and timely manner. </w:t>
                            </w:r>
                          </w:p>
                          <w:p w:rsidR="006646D7" w:rsidRPr="00CB6C52" w:rsidRDefault="006646D7" w:rsidP="00A75AE8">
                            <w:pPr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  <w:p w:rsidR="009F04C8" w:rsidRDefault="009F04C8" w:rsidP="00A75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Pr="00CB6C52" w:rsidRDefault="009F04C8" w:rsidP="00A75AE8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CB6C52">
                        <w:rPr>
                          <w:rFonts w:ascii="Arial" w:eastAsia="Arial Unicode MS" w:hAnsi="Arial" w:cs="Arial"/>
                          <w:b/>
                          <w:i/>
                          <w:sz w:val="24"/>
                          <w:szCs w:val="24"/>
                        </w:rPr>
                        <w:t>Access to on the day appointments</w:t>
                      </w:r>
                      <w:r w:rsidR="006646D7" w:rsidRPr="00CB6C52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6646D7" w:rsidRPr="00CB6C52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6646D7" w:rsidRPr="00CB6C52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continue to work on access to on the day </w:t>
                      </w:r>
                      <w:r w:rsidR="00485DE4" w:rsidRPr="00CB6C52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appointments;</w:t>
                      </w:r>
                      <w:r w:rsidR="006646D7" w:rsidRPr="00CB6C52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we introduced Nurse Practitioners in 2013-14 and have increased the number of Minor Illness appointments offered in practice this year.</w:t>
                      </w:r>
                    </w:p>
                    <w:p w:rsidR="006646D7" w:rsidRPr="00CB6C52" w:rsidRDefault="006646D7" w:rsidP="00A75AE8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</w:p>
                    <w:p w:rsidR="009F04C8" w:rsidRPr="00CB6C52" w:rsidRDefault="009F04C8" w:rsidP="00A75AE8">
                      <w:pPr>
                        <w:rPr>
                          <w:rFonts w:ascii="Arial" w:eastAsia="Arial Unicode MS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CB6C52">
                        <w:rPr>
                          <w:rFonts w:ascii="Arial" w:eastAsia="Arial Unicode MS" w:hAnsi="Arial" w:cs="Arial"/>
                          <w:b/>
                          <w:i/>
                          <w:sz w:val="24"/>
                          <w:szCs w:val="24"/>
                        </w:rPr>
                        <w:t>Patient Communications</w:t>
                      </w:r>
                    </w:p>
                    <w:p w:rsidR="009F04C8" w:rsidRPr="00CB6C52" w:rsidRDefault="009F04C8" w:rsidP="00A75AE8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CB6C52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We have appointed a Patient Communications Administrator who is responsible for our newsletter, media screen, web site and patient handbook ensuring that patients are provided with information about the services in a consistent and timely manner. </w:t>
                      </w:r>
                    </w:p>
                    <w:p w:rsidR="006646D7" w:rsidRPr="00CB6C52" w:rsidRDefault="006646D7" w:rsidP="00A75AE8">
                      <w:pPr>
                        <w:rPr>
                          <w:rFonts w:ascii="Arial" w:eastAsia="Arial Unicode MS" w:hAnsi="Arial" w:cs="Arial"/>
                        </w:rPr>
                      </w:pPr>
                    </w:p>
                    <w:p w:rsidR="009F04C8" w:rsidRDefault="009F04C8" w:rsidP="00A75AE8"/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Report signed off by PPG: YES</w:t>
            </w:r>
            <w:r w:rsidRPr="009045D9">
              <w:rPr>
                <w:rFonts w:ascii="Arial" w:hAnsi="Arial" w:cs="Arial"/>
                <w:strike/>
                <w:sz w:val="24"/>
              </w:rPr>
              <w:t>/NO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28398C">
              <w:rPr>
                <w:rFonts w:ascii="Arial" w:hAnsi="Arial" w:cs="Arial"/>
                <w:sz w:val="24"/>
              </w:rPr>
              <w:t>18</w:t>
            </w:r>
            <w:r w:rsidR="0028398C" w:rsidRPr="0028398C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28398C">
              <w:rPr>
                <w:rFonts w:ascii="Arial" w:hAnsi="Arial" w:cs="Arial"/>
                <w:sz w:val="24"/>
              </w:rPr>
              <w:t xml:space="preserve"> March 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i/>
                <w:sz w:val="24"/>
              </w:rPr>
            </w:pPr>
            <w:r w:rsidRPr="00F35707">
              <w:rPr>
                <w:rFonts w:ascii="Arial" w:hAnsi="Arial" w:cs="Arial"/>
                <w:b/>
                <w:i/>
                <w:sz w:val="24"/>
              </w:rPr>
              <w:t>How has the practice engaged with the PPG:</w:t>
            </w:r>
            <w:r w:rsidR="00485DE4" w:rsidRPr="00F3570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485DE4" w:rsidRPr="002649FE" w:rsidRDefault="00F3570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Quarterly meetings attended by PPG members and a Doctor and the practice manager from the practice.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i/>
                <w:sz w:val="24"/>
              </w:rPr>
            </w:pPr>
            <w:r w:rsidRPr="00F35707">
              <w:rPr>
                <w:rFonts w:ascii="Arial" w:hAnsi="Arial" w:cs="Arial"/>
                <w:b/>
                <w:i/>
                <w:sz w:val="24"/>
              </w:rPr>
              <w:t>How has the practice made efforts to engage with seldom heard groups in the practice population?</w:t>
            </w:r>
          </w:p>
          <w:p w:rsidR="00CB6C52" w:rsidRPr="00CB6C52" w:rsidRDefault="00CB6C52" w:rsidP="00CB6C52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CB6C52">
              <w:rPr>
                <w:rFonts w:ascii="Arial" w:hAnsi="Arial" w:cs="Arial"/>
                <w:sz w:val="24"/>
              </w:rPr>
              <w:t xml:space="preserve">We recruited patients for the Patient Group in a number of ways: </w:t>
            </w:r>
          </w:p>
          <w:p w:rsidR="00CB6C52" w:rsidRPr="00CB6C52" w:rsidRDefault="00F35707" w:rsidP="00CB6C52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•</w:t>
            </w:r>
            <w:r>
              <w:rPr>
                <w:rFonts w:ascii="Arial" w:hAnsi="Arial" w:cs="Arial"/>
                <w:sz w:val="24"/>
              </w:rPr>
              <w:tab/>
              <w:t>Advert cards</w:t>
            </w:r>
            <w:r w:rsidR="00CB6C52" w:rsidRPr="00CB6C52">
              <w:rPr>
                <w:rFonts w:ascii="Arial" w:hAnsi="Arial" w:cs="Arial"/>
                <w:sz w:val="24"/>
              </w:rPr>
              <w:t xml:space="preserve"> printed to accompany prescriptions</w:t>
            </w:r>
            <w:r>
              <w:rPr>
                <w:rFonts w:ascii="Arial" w:hAnsi="Arial" w:cs="Arial"/>
                <w:sz w:val="24"/>
              </w:rPr>
              <w:t xml:space="preserve"> and new patient packs and </w:t>
            </w:r>
            <w:r w:rsidR="00CB6C52" w:rsidRPr="00CB6C52">
              <w:rPr>
                <w:rFonts w:ascii="Arial" w:hAnsi="Arial" w:cs="Arial"/>
                <w:sz w:val="24"/>
              </w:rPr>
              <w:t xml:space="preserve">placed </w:t>
            </w:r>
            <w:r>
              <w:rPr>
                <w:rFonts w:ascii="Arial" w:hAnsi="Arial" w:cs="Arial"/>
                <w:sz w:val="24"/>
              </w:rPr>
              <w:t xml:space="preserve">in the practice </w:t>
            </w:r>
            <w:r w:rsidR="00CB6C52" w:rsidRPr="00CB6C52">
              <w:rPr>
                <w:rFonts w:ascii="Arial" w:hAnsi="Arial" w:cs="Arial"/>
                <w:sz w:val="24"/>
              </w:rPr>
              <w:t xml:space="preserve">reception </w:t>
            </w:r>
          </w:p>
          <w:p w:rsidR="00CB6C52" w:rsidRPr="00CB6C52" w:rsidRDefault="00CB6C52" w:rsidP="00CB6C52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CB6C52">
              <w:rPr>
                <w:rFonts w:ascii="Arial" w:hAnsi="Arial" w:cs="Arial"/>
                <w:sz w:val="24"/>
              </w:rPr>
              <w:t>•</w:t>
            </w:r>
            <w:r w:rsidRPr="00CB6C52">
              <w:rPr>
                <w:rFonts w:ascii="Arial" w:hAnsi="Arial" w:cs="Arial"/>
                <w:sz w:val="24"/>
              </w:rPr>
              <w:tab/>
              <w:t xml:space="preserve">Posters displayed in the practice, in the waiting rooms and consultation rooms, and displayed in the wider community; in local shops, residential and nursing homes, post offices, local children's centre, libraries and village halls. </w:t>
            </w:r>
          </w:p>
          <w:p w:rsidR="00485DE4" w:rsidRDefault="00CB6C52" w:rsidP="00CB6C52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CB6C52">
              <w:rPr>
                <w:rFonts w:ascii="Arial" w:hAnsi="Arial" w:cs="Arial"/>
                <w:sz w:val="24"/>
              </w:rPr>
              <w:t>•</w:t>
            </w:r>
            <w:r w:rsidRPr="00CB6C52">
              <w:rPr>
                <w:rFonts w:ascii="Arial" w:hAnsi="Arial" w:cs="Arial"/>
                <w:sz w:val="24"/>
              </w:rPr>
              <w:tab/>
              <w:t xml:space="preserve">A supply of leaflets advertising the </w:t>
            </w:r>
            <w:r w:rsidR="00F35707">
              <w:rPr>
                <w:rFonts w:ascii="Arial" w:hAnsi="Arial" w:cs="Arial"/>
                <w:sz w:val="24"/>
              </w:rPr>
              <w:t>P</w:t>
            </w:r>
            <w:r w:rsidRPr="00CB6C52">
              <w:rPr>
                <w:rFonts w:ascii="Arial" w:hAnsi="Arial" w:cs="Arial"/>
                <w:sz w:val="24"/>
              </w:rPr>
              <w:t xml:space="preserve">atient </w:t>
            </w:r>
            <w:r w:rsidR="00F35707">
              <w:rPr>
                <w:rFonts w:ascii="Arial" w:hAnsi="Arial" w:cs="Arial"/>
                <w:sz w:val="24"/>
              </w:rPr>
              <w:t>G</w:t>
            </w:r>
            <w:r w:rsidRPr="00CB6C52">
              <w:rPr>
                <w:rFonts w:ascii="Arial" w:hAnsi="Arial" w:cs="Arial"/>
                <w:sz w:val="24"/>
              </w:rPr>
              <w:t>roup distributed to local Primary Schools</w:t>
            </w:r>
          </w:p>
          <w:p w:rsidR="00485DE4" w:rsidRDefault="00485D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i/>
                <w:sz w:val="24"/>
              </w:rPr>
            </w:pPr>
            <w:r w:rsidRPr="00F35707">
              <w:rPr>
                <w:rFonts w:ascii="Arial" w:hAnsi="Arial" w:cs="Arial"/>
                <w:b/>
                <w:i/>
                <w:sz w:val="24"/>
              </w:rPr>
              <w:t>Has the practice received patient and carer feedback from a variety of sources?</w:t>
            </w:r>
          </w:p>
          <w:p w:rsidR="00F35707" w:rsidRDefault="00F3570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F35707">
              <w:rPr>
                <w:rFonts w:ascii="Arial" w:hAnsi="Arial" w:cs="Arial"/>
                <w:sz w:val="24"/>
              </w:rPr>
              <w:t>Survey, Friends &amp; Family Test, Patient complaints &amp; compliments and Patient Comments from feedback box in reception.</w:t>
            </w:r>
            <w:r>
              <w:rPr>
                <w:rFonts w:ascii="Arial" w:hAnsi="Arial" w:cs="Arial"/>
                <w:sz w:val="24"/>
              </w:rPr>
              <w:t xml:space="preserve"> PPG members also collect feedback from service users to be discussed at quarterly PPG meetings.</w:t>
            </w:r>
          </w:p>
          <w:p w:rsidR="00F35707" w:rsidRDefault="00F3570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i/>
                <w:sz w:val="24"/>
              </w:rPr>
            </w:pPr>
            <w:r w:rsidRPr="00F35707">
              <w:rPr>
                <w:rFonts w:ascii="Arial" w:hAnsi="Arial" w:cs="Arial"/>
                <w:b/>
                <w:i/>
                <w:sz w:val="24"/>
              </w:rPr>
              <w:t>Was the PPG involved in the agreement of priority areas and the resulting action plan?</w:t>
            </w:r>
          </w:p>
          <w:p w:rsidR="00485DE4" w:rsidRDefault="00CB6C5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Priority Areas were, in some case, identified by members of the PPG, and based on this feedback agreed to be a </w:t>
            </w:r>
            <w:r w:rsidR="008611CF">
              <w:rPr>
                <w:rFonts w:ascii="Arial" w:hAnsi="Arial" w:cs="Arial"/>
                <w:sz w:val="24"/>
              </w:rPr>
              <w:t>priority</w:t>
            </w:r>
            <w:r>
              <w:rPr>
                <w:rFonts w:ascii="Arial" w:hAnsi="Arial" w:cs="Arial"/>
                <w:sz w:val="24"/>
              </w:rPr>
              <w:t xml:space="preserve"> area for the practice.</w:t>
            </w:r>
          </w:p>
          <w:p w:rsidR="00F35707" w:rsidRDefault="00F3570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Other Priority Areas were identified as being ‘themes’ in patient feedback from a variety of sources, again discussed at the PPG meetings. </w:t>
            </w:r>
          </w:p>
          <w:p w:rsidR="00F35707" w:rsidRDefault="00F3570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i/>
                <w:sz w:val="24"/>
              </w:rPr>
            </w:pPr>
            <w:r w:rsidRPr="00F35707">
              <w:rPr>
                <w:rFonts w:ascii="Arial" w:hAnsi="Arial" w:cs="Arial"/>
                <w:b/>
                <w:i/>
                <w:sz w:val="24"/>
              </w:rPr>
              <w:t>How has the service offered to patients and carers improved as a result of the implementation of the action plan?</w:t>
            </w:r>
          </w:p>
          <w:p w:rsidR="00485DE4" w:rsidRDefault="008611C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Better access to appointments, patients are better informed about the options for contacting and travelling to the practice and better access to OOH treatment centres. </w:t>
            </w:r>
          </w:p>
          <w:p w:rsidR="00A75AE8" w:rsidRPr="00F3570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i/>
                <w:sz w:val="24"/>
              </w:rPr>
            </w:pPr>
            <w:r w:rsidRPr="00F35707">
              <w:rPr>
                <w:rFonts w:ascii="Arial" w:hAnsi="Arial" w:cs="Arial"/>
                <w:b/>
                <w:i/>
                <w:sz w:val="24"/>
              </w:rPr>
              <w:lastRenderedPageBreak/>
              <w:t>Do you have any other comments about the PPG or practice in relation to this area of work?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611CF" w:rsidRDefault="008611C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Our patient group is a valued asset of the practice, we have an excellent working relationship and turnover is low on the patient group.</w:t>
            </w:r>
          </w:p>
          <w:p w:rsidR="008611CF" w:rsidRDefault="008611C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611CF" w:rsidRPr="002649FE" w:rsidRDefault="008611CF" w:rsidP="008611CF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group is able to have </w:t>
            </w:r>
            <w:r w:rsidR="0078493F">
              <w:rPr>
                <w:rFonts w:ascii="Arial" w:hAnsi="Arial" w:cs="Arial"/>
                <w:sz w:val="24"/>
              </w:rPr>
              <w:t>robust</w:t>
            </w:r>
            <w:r>
              <w:rPr>
                <w:rFonts w:ascii="Arial" w:hAnsi="Arial" w:cs="Arial"/>
                <w:sz w:val="24"/>
              </w:rPr>
              <w:t xml:space="preserve"> discussion with the practice and is not afraid to give constructive criticism of the practice and services provided. 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8462A"/>
    <w:multiLevelType w:val="hybridMultilevel"/>
    <w:tmpl w:val="F7DE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10F58"/>
    <w:multiLevelType w:val="hybridMultilevel"/>
    <w:tmpl w:val="86AE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1161BD"/>
    <w:rsid w:val="0012421B"/>
    <w:rsid w:val="002649FE"/>
    <w:rsid w:val="0028398C"/>
    <w:rsid w:val="002E3769"/>
    <w:rsid w:val="003E33D7"/>
    <w:rsid w:val="00420484"/>
    <w:rsid w:val="004721EC"/>
    <w:rsid w:val="004826F9"/>
    <w:rsid w:val="00485DE4"/>
    <w:rsid w:val="00510FC2"/>
    <w:rsid w:val="006534CD"/>
    <w:rsid w:val="006646D7"/>
    <w:rsid w:val="006C6555"/>
    <w:rsid w:val="0078493F"/>
    <w:rsid w:val="007878BB"/>
    <w:rsid w:val="007F7B99"/>
    <w:rsid w:val="008611CF"/>
    <w:rsid w:val="00902C10"/>
    <w:rsid w:val="009045D9"/>
    <w:rsid w:val="009306E4"/>
    <w:rsid w:val="009F04C8"/>
    <w:rsid w:val="00A64080"/>
    <w:rsid w:val="00A75AE8"/>
    <w:rsid w:val="00AC2109"/>
    <w:rsid w:val="00AE6D6A"/>
    <w:rsid w:val="00BB0F03"/>
    <w:rsid w:val="00BD5912"/>
    <w:rsid w:val="00C52947"/>
    <w:rsid w:val="00CB6C52"/>
    <w:rsid w:val="00DB23BC"/>
    <w:rsid w:val="00E57628"/>
    <w:rsid w:val="00F35707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5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3620F-283B-4574-8FEC-5F18C66BAEC9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0B27F6-4694-45E7-AE89-93D9EFC0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Windows User</cp:lastModifiedBy>
  <cp:revision>2</cp:revision>
  <cp:lastPrinted>2015-03-13T09:26:00Z</cp:lastPrinted>
  <dcterms:created xsi:type="dcterms:W3CDTF">2015-03-31T09:25:00Z</dcterms:created>
  <dcterms:modified xsi:type="dcterms:W3CDTF">2015-03-31T09:25:00Z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